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8502A">
      <w:pPr>
        <w:keepNext w:val="0"/>
        <w:keepLines w:val="0"/>
        <w:pageBreakBefore w:val="0"/>
        <w:widowControl w:val="0"/>
        <w:kinsoku/>
        <w:wordWrap/>
        <w:overflowPunct/>
        <w:topLinePunct w:val="0"/>
        <w:autoSpaceDE/>
        <w:autoSpaceDN/>
        <w:bidi w:val="0"/>
        <w:adjustRightInd/>
        <w:snapToGrid/>
        <w:spacing w:line="590" w:lineRule="exact"/>
        <w:ind w:firstLine="0" w:firstLineChars="0"/>
        <w:jc w:val="left"/>
        <w:textAlignment w:val="auto"/>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附件</w:t>
      </w:r>
      <w:r>
        <w:rPr>
          <w:rFonts w:hint="eastAsia" w:ascii="Times New Roman" w:hAnsi="Times New Roman" w:eastAsia="方正黑体_GBK" w:cs="Times New Roman"/>
          <w:color w:val="000000"/>
          <w:kern w:val="0"/>
          <w:sz w:val="32"/>
          <w:szCs w:val="32"/>
          <w:lang w:val="en-US" w:eastAsia="zh-CN" w:bidi="ar"/>
        </w:rPr>
        <w:t>1</w:t>
      </w:r>
    </w:p>
    <w:p w14:paraId="6FB656A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Times New Roman" w:hAnsi="Times New Roman" w:eastAsia="方正黑体_GBK" w:cs="Times New Roman"/>
          <w:color w:val="000000"/>
          <w:kern w:val="0"/>
          <w:sz w:val="32"/>
          <w:szCs w:val="32"/>
          <w:lang w:val="en-US" w:eastAsia="zh-CN" w:bidi="ar"/>
        </w:rPr>
      </w:pPr>
    </w:p>
    <w:p w14:paraId="400D5769">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成都天府国际空港产城投资运营有限公司关于天府空港综保区（一期）首开区</w:t>
      </w:r>
    </w:p>
    <w:p w14:paraId="10E1337D">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项目资产出租竞价须知</w:t>
      </w:r>
    </w:p>
    <w:p w14:paraId="1979F72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华文中宋" w:cs="Times New Roman"/>
          <w:sz w:val="44"/>
          <w:szCs w:val="44"/>
          <w:highlight w:val="none"/>
        </w:rPr>
      </w:pPr>
    </w:p>
    <w:p w14:paraId="017FB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凡参与竞价的竞租人，竞租申请一旦提交，即视为竞租人已仔细阅读本须知《企业资格登记表》《竞租申请及承诺书》等文件，对前述文件内容及标的物现状无异议并全面接受，愿意在遵照交易文件内容及认可标的物现状的基础上参与竞租，并承担因竞租行为产生的任何法律后果。</w:t>
      </w:r>
    </w:p>
    <w:p w14:paraId="43EAB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一、竞价的时间、地点</w:t>
      </w:r>
    </w:p>
    <w:p w14:paraId="30257C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竞价时间：</w:t>
      </w:r>
      <w:r>
        <w:rPr>
          <w:rFonts w:hint="eastAsia" w:ascii="Times New Roman" w:hAnsi="Times New Roman" w:eastAsia="方正仿宋_GBK" w:cs="Times New Roman"/>
          <w:sz w:val="32"/>
          <w:szCs w:val="32"/>
          <w:highlight w:val="none"/>
          <w:lang w:val="en-US" w:eastAsia="zh-CN"/>
        </w:rPr>
        <w:t>以空港产城通知为准</w:t>
      </w:r>
    </w:p>
    <w:p w14:paraId="4691B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rPr>
      </w:pPr>
      <w:r>
        <w:rPr>
          <w:rFonts w:hint="default" w:ascii="Times New Roman" w:hAnsi="Times New Roman" w:eastAsia="方正仿宋_GBK" w:cs="Times New Roman"/>
          <w:sz w:val="32"/>
          <w:szCs w:val="32"/>
          <w:highlight w:val="none"/>
        </w:rPr>
        <w:t>地点：</w:t>
      </w:r>
      <w:r>
        <w:rPr>
          <w:rFonts w:hint="default" w:ascii="Times New Roman" w:hAnsi="Times New Roman" w:eastAsia="方正仿宋_GBK" w:cs="Times New Roman"/>
          <w:sz w:val="32"/>
          <w:szCs w:val="32"/>
          <w:highlight w:val="none"/>
          <w:lang w:val="en-US" w:eastAsia="zh-CN"/>
        </w:rPr>
        <w:t>四川省成都市东部新区凌穹北路2211号天府综保区1栋综合服务楼5楼</w:t>
      </w:r>
    </w:p>
    <w:p w14:paraId="691706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请竞租人在交易当日竞价开始前10分钟凭《企业资格登记表》、竞租保证金收据、有效身份证件等企业相关有效证件在</w:t>
      </w:r>
      <w:r>
        <w:rPr>
          <w:rFonts w:hint="default" w:ascii="Times New Roman" w:hAnsi="Times New Roman" w:eastAsia="方正仿宋_GBK" w:cs="Times New Roman"/>
          <w:sz w:val="32"/>
          <w:szCs w:val="32"/>
          <w:highlight w:val="none"/>
          <w:lang w:val="en-US" w:eastAsia="zh-CN"/>
        </w:rPr>
        <w:t>成都天府国际空港产城投资运营有限公司</w:t>
      </w:r>
      <w:r>
        <w:rPr>
          <w:rFonts w:hint="default" w:ascii="Times New Roman" w:hAnsi="Times New Roman" w:eastAsia="方正仿宋_GBK" w:cs="Times New Roman"/>
          <w:sz w:val="32"/>
          <w:szCs w:val="32"/>
          <w:highlight w:val="none"/>
        </w:rPr>
        <w:t>（以下简称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）签到并领取号牌等待现场竞价。</w:t>
      </w:r>
    </w:p>
    <w:p w14:paraId="0978B4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竞租人未按规定时间到达现场，或到达现场而未在</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工作人员处签到的，视为放弃竞租权利。</w:t>
      </w:r>
    </w:p>
    <w:p w14:paraId="76ADE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二、竞租资格及保证金缴纳方式</w:t>
      </w:r>
    </w:p>
    <w:p w14:paraId="2A7FCB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highlight w:val="yellow"/>
          <w:lang w:val="en-US" w:eastAsia="zh-CN" w:bidi="ar-SA"/>
        </w:rPr>
      </w:pPr>
      <w:r>
        <w:rPr>
          <w:rFonts w:hint="default" w:ascii="Times New Roman" w:hAnsi="Times New Roman" w:eastAsia="方正仿宋_GBK" w:cs="Times New Roman"/>
          <w:sz w:val="32"/>
          <w:szCs w:val="32"/>
          <w:highlight w:val="none"/>
        </w:rPr>
        <w:t>竞租人在正式报名前应到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取得《企业资格登记表》，竞租人通过资格审查后方可正式报名并缴纳竞租保证金，竞租保证金按标的物的</w:t>
      </w:r>
      <w:r>
        <w:rPr>
          <w:rFonts w:hint="default" w:ascii="Times New Roman" w:hAnsi="Times New Roman" w:eastAsia="方正仿宋_GBK" w:cs="Times New Roman"/>
          <w:sz w:val="32"/>
          <w:szCs w:val="32"/>
          <w:highlight w:val="none"/>
          <w:lang w:val="en-US" w:eastAsia="zh-CN"/>
        </w:rPr>
        <w:t>租金</w:t>
      </w:r>
      <w:r>
        <w:rPr>
          <w:rFonts w:hint="default" w:ascii="Times New Roman" w:hAnsi="Times New Roman" w:eastAsia="方正仿宋_GBK" w:cs="Times New Roman"/>
          <w:sz w:val="32"/>
          <w:szCs w:val="32"/>
          <w:highlight w:val="none"/>
        </w:rPr>
        <w:t>底价*面积</w:t>
      </w:r>
      <w:r>
        <w:rPr>
          <w:rFonts w:hint="default" w:ascii="Times New Roman" w:hAnsi="Times New Roman" w:eastAsia="方正仿宋_GBK" w:cs="Times New Roman"/>
          <w:sz w:val="32"/>
          <w:szCs w:val="32"/>
          <w:highlight w:val="none"/>
          <w:lang w:val="en-US" w:eastAsia="zh-CN"/>
        </w:rPr>
        <w:t>后的1个月租金</w:t>
      </w:r>
      <w:r>
        <w:rPr>
          <w:rFonts w:hint="default" w:ascii="Times New Roman" w:hAnsi="Times New Roman" w:eastAsia="方正仿宋_GBK" w:cs="Times New Roman"/>
          <w:sz w:val="32"/>
          <w:szCs w:val="32"/>
          <w:highlight w:val="none"/>
        </w:rPr>
        <w:t>收取，竞租保证金应在规定时间内到达</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指定账户。</w:t>
      </w:r>
      <w:r>
        <w:rPr>
          <w:rFonts w:hint="default" w:ascii="Times New Roman" w:hAnsi="Times New Roman" w:eastAsia="方正仿宋_GBK" w:cs="Times New Roman"/>
          <w:kern w:val="2"/>
          <w:sz w:val="32"/>
          <w:szCs w:val="32"/>
          <w:lang w:val="en-US" w:eastAsia="zh-CN" w:bidi="ar-SA"/>
        </w:rPr>
        <w:t>标的物招租完成后，</w:t>
      </w:r>
      <w:r>
        <w:rPr>
          <w:rFonts w:hint="default" w:ascii="Times New Roman" w:hAnsi="Times New Roman" w:eastAsia="方正仿宋_GBK" w:cs="Times New Roman"/>
          <w:kern w:val="2"/>
          <w:sz w:val="32"/>
          <w:szCs w:val="32"/>
          <w:highlight w:val="none"/>
          <w:lang w:val="en-US" w:eastAsia="zh-CN" w:bidi="ar-SA"/>
        </w:rPr>
        <w:t>成功竞得标的物的企业，其竞租保证金自动转为租赁保证金；未竞得标的物的企业，其竞租保证金由出租方在竞租结束后全额无息按原路径退还。</w:t>
      </w:r>
    </w:p>
    <w:p w14:paraId="764A53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lang w:val="en-US" w:eastAsia="zh-CN"/>
        </w:rPr>
        <w:t>三、</w:t>
      </w:r>
      <w:r>
        <w:rPr>
          <w:rFonts w:hint="default" w:ascii="方正黑体_GBK" w:hAnsi="方正黑体_GBK" w:eastAsia="方正黑体_GBK" w:cs="方正黑体_GBK"/>
          <w:sz w:val="32"/>
          <w:szCs w:val="32"/>
          <w:highlight w:val="none"/>
        </w:rPr>
        <w:t>竞租保证金缴纳账户</w:t>
      </w:r>
    </w:p>
    <w:p w14:paraId="6ADF09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户名：</w:t>
      </w:r>
      <w:r>
        <w:rPr>
          <w:rFonts w:hint="default" w:ascii="Times New Roman" w:hAnsi="Times New Roman" w:eastAsia="方正仿宋_GBK" w:cs="Times New Roman"/>
          <w:sz w:val="32"/>
          <w:szCs w:val="32"/>
          <w:highlight w:val="none"/>
          <w:lang w:val="en-US" w:eastAsia="zh-CN"/>
        </w:rPr>
        <w:t>成都天府国际空港产城投资运营有限公司</w:t>
      </w:r>
    </w:p>
    <w:p w14:paraId="6F250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账号：</w:t>
      </w:r>
      <w:r>
        <w:rPr>
          <w:rFonts w:hint="default" w:ascii="Times New Roman" w:hAnsi="Times New Roman" w:eastAsia="方正仿宋_GBK" w:cs="Times New Roman"/>
          <w:sz w:val="32"/>
          <w:szCs w:val="32"/>
          <w:highlight w:val="none"/>
          <w:lang w:val="en-US" w:eastAsia="zh-CN"/>
        </w:rPr>
        <w:t xml:space="preserve">1001 3000 0089 3390                                </w:t>
      </w:r>
    </w:p>
    <w:p w14:paraId="0D0F03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开户行：成都银行东部新区支行                            </w:t>
      </w:r>
    </w:p>
    <w:p w14:paraId="5B742C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四、申请和资格查验</w:t>
      </w:r>
    </w:p>
    <w:p w14:paraId="367C2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54C2CB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有意参与标的</w:t>
      </w:r>
      <w:r>
        <w:rPr>
          <w:rFonts w:hint="default" w:ascii="Times New Roman" w:hAnsi="Times New Roman" w:eastAsia="方正仿宋_GBK" w:cs="Times New Roman"/>
          <w:sz w:val="32"/>
          <w:szCs w:val="32"/>
          <w:highlight w:val="none"/>
          <w:lang w:val="en-US" w:eastAsia="zh-CN"/>
        </w:rPr>
        <w:t>物</w:t>
      </w:r>
      <w:r>
        <w:rPr>
          <w:rFonts w:hint="default" w:ascii="Times New Roman" w:hAnsi="Times New Roman" w:eastAsia="方正仿宋_GBK" w:cs="Times New Roman"/>
          <w:sz w:val="32"/>
          <w:szCs w:val="32"/>
          <w:highlight w:val="none"/>
        </w:rPr>
        <w:t>竞租的申请人，须于该标的</w:t>
      </w:r>
      <w:r>
        <w:rPr>
          <w:rFonts w:hint="default" w:ascii="Times New Roman" w:hAnsi="Times New Roman" w:eastAsia="方正仿宋_GBK" w:cs="Times New Roman"/>
          <w:sz w:val="32"/>
          <w:szCs w:val="32"/>
          <w:highlight w:val="none"/>
          <w:lang w:val="en-US" w:eastAsia="zh-CN"/>
        </w:rPr>
        <w:t>物</w:t>
      </w:r>
      <w:r>
        <w:rPr>
          <w:rFonts w:hint="default" w:ascii="Times New Roman" w:hAnsi="Times New Roman" w:eastAsia="方正仿宋_GBK" w:cs="Times New Roman"/>
          <w:sz w:val="32"/>
          <w:szCs w:val="32"/>
          <w:highlight w:val="none"/>
        </w:rPr>
        <w:t>竞租结果公告</w:t>
      </w:r>
      <w:r>
        <w:rPr>
          <w:rFonts w:hint="default" w:ascii="Times New Roman" w:hAnsi="Times New Roman" w:eastAsia="方正仿宋_GBK" w:cs="Times New Roman"/>
          <w:sz w:val="32"/>
          <w:szCs w:val="32"/>
          <w:highlight w:val="none"/>
          <w:lang w:val="en-US" w:eastAsia="zh-CN"/>
        </w:rPr>
        <w:t>截止日</w:t>
      </w:r>
      <w:r>
        <w:rPr>
          <w:rFonts w:hint="default" w:ascii="Times New Roman" w:hAnsi="Times New Roman" w:eastAsia="方正仿宋_GBK" w:cs="Times New Roman"/>
          <w:sz w:val="32"/>
          <w:szCs w:val="32"/>
          <w:highlight w:val="none"/>
        </w:rPr>
        <w:t>当日17:00前，到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递交报名书面资料。本次竞价不接受信函、电子邮件及口头竞租申请。</w:t>
      </w:r>
    </w:p>
    <w:p w14:paraId="6663F7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报名资料如下：</w:t>
      </w:r>
    </w:p>
    <w:p w14:paraId="6C3846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企业资格登记表原件；</w:t>
      </w:r>
    </w:p>
    <w:p w14:paraId="314C2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竞租申请及承诺书</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竞租函</w:t>
      </w:r>
      <w:r>
        <w:rPr>
          <w:rFonts w:hint="default" w:ascii="Times New Roman" w:hAnsi="Times New Roman" w:eastAsia="方正仿宋_GBK" w:cs="Times New Roman"/>
          <w:sz w:val="32"/>
          <w:szCs w:val="32"/>
          <w:highlight w:val="none"/>
        </w:rPr>
        <w:t>原件；</w:t>
      </w:r>
    </w:p>
    <w:p w14:paraId="42DA5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竞租申请人主体身份证明及授权委托文件。</w:t>
      </w:r>
    </w:p>
    <w:p w14:paraId="28640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竞租申请人应提交营业执照、法定代表人（负责人）的身份证复印件（加盖公章）。委托他人代为竞租及办理相关手续的，须提交授权委托书</w:t>
      </w:r>
      <w:r>
        <w:rPr>
          <w:rFonts w:hint="default" w:ascii="Times New Roman" w:hAnsi="Times New Roman" w:eastAsia="方正仿宋_GBK" w:cs="Times New Roman"/>
          <w:sz w:val="32"/>
          <w:szCs w:val="32"/>
          <w:highlight w:val="none"/>
          <w:lang w:val="en-US" w:eastAsia="zh-CN"/>
        </w:rPr>
        <w:t>复印件</w:t>
      </w:r>
      <w:r>
        <w:rPr>
          <w:rFonts w:hint="default" w:ascii="Times New Roman" w:hAnsi="Times New Roman" w:eastAsia="方正仿宋_GBK" w:cs="Times New Roman"/>
          <w:sz w:val="32"/>
          <w:szCs w:val="32"/>
          <w:highlight w:val="none"/>
        </w:rPr>
        <w:t>（应当列明具体委托事项和委托权限）及受托人身份证</w:t>
      </w:r>
      <w:r>
        <w:rPr>
          <w:rFonts w:hint="default" w:ascii="Times New Roman" w:hAnsi="Times New Roman" w:eastAsia="方正仿宋_GBK" w:cs="Times New Roman"/>
          <w:sz w:val="32"/>
          <w:szCs w:val="32"/>
          <w:highlight w:val="none"/>
          <w:lang w:val="en-US" w:eastAsia="zh-CN"/>
        </w:rPr>
        <w:t>复印件，</w:t>
      </w:r>
      <w:r>
        <w:rPr>
          <w:rFonts w:hint="default" w:ascii="Times New Roman" w:hAnsi="Times New Roman" w:eastAsia="方正仿宋_GBK" w:cs="Times New Roman"/>
          <w:sz w:val="32"/>
          <w:szCs w:val="32"/>
          <w:highlight w:val="none"/>
        </w:rPr>
        <w:t>授权委托书须委托人法定代表人签署并加盖公章。</w:t>
      </w:r>
    </w:p>
    <w:p w14:paraId="68A3C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取得竞租资格</w:t>
      </w:r>
    </w:p>
    <w:p w14:paraId="119F3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竞租当日，竞租申请人经</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审核竞租资格后，现场参与竞价。</w:t>
      </w:r>
    </w:p>
    <w:p w14:paraId="7C5426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答疑及现场踏勘</w:t>
      </w:r>
    </w:p>
    <w:p w14:paraId="52A7D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竞租人在报名前，应仔细阅读本须知《企业资格登记表》《竞租申请及承诺书》等交易文件，对竞租规则不清楚的、标的物出租方案、现状等有疑问的，可向</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咨询并以其解释为准（联系人：</w:t>
      </w:r>
      <w:r>
        <w:rPr>
          <w:rFonts w:hint="eastAsia" w:ascii="Times New Roman" w:hAnsi="Times New Roman" w:eastAsia="方正仿宋_GBK" w:cs="Times New Roman"/>
          <w:sz w:val="32"/>
          <w:szCs w:val="32"/>
          <w:highlight w:val="none"/>
          <w:lang w:val="en-US" w:eastAsia="zh-CN"/>
        </w:rPr>
        <w:t>苏</w:t>
      </w:r>
      <w:r>
        <w:rPr>
          <w:rFonts w:hint="default" w:ascii="Times New Roman" w:hAnsi="Times New Roman" w:eastAsia="方正仿宋" w:cs="Times New Roman"/>
          <w:b w:val="0"/>
          <w:bCs w:val="0"/>
          <w:snapToGrid/>
          <w:color w:val="000000"/>
          <w:spacing w:val="0"/>
          <w:kern w:val="0"/>
          <w:sz w:val="32"/>
          <w:szCs w:val="32"/>
          <w:highlight w:val="none"/>
          <w:lang w:val="en-US" w:eastAsia="zh-CN" w:bidi="ar-SA"/>
        </w:rPr>
        <w:t>老师</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13684037133</w:t>
      </w:r>
      <w:r>
        <w:rPr>
          <w:rFonts w:hint="eastAsia" w:ascii="Times New Roman" w:hAnsi="Times New Roman" w:eastAsia="方正仿宋" w:cs="Times New Roman"/>
          <w:b w:val="0"/>
          <w:bCs w:val="0"/>
          <w:snapToGrid/>
          <w:color w:val="000000"/>
          <w:spacing w:val="0"/>
          <w:kern w:val="0"/>
          <w:sz w:val="32"/>
          <w:szCs w:val="32"/>
          <w:highlight w:val="none"/>
          <w:lang w:val="en-US" w:eastAsia="zh-CN" w:bidi="ar-SA"/>
        </w:rPr>
        <w:t>）</w:t>
      </w:r>
      <w:r>
        <w:rPr>
          <w:rFonts w:hint="default" w:ascii="Times New Roman" w:hAnsi="Times New Roman" w:eastAsia="方正仿宋_GBK" w:cs="Times New Roman"/>
          <w:sz w:val="32"/>
          <w:szCs w:val="32"/>
          <w:highlight w:val="none"/>
        </w:rPr>
        <w:t>。</w:t>
      </w:r>
    </w:p>
    <w:p w14:paraId="21DED2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五、竞价操作及结果查询</w:t>
      </w:r>
    </w:p>
    <w:p w14:paraId="316D3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经公开征集，产生两家及两家以上的意向承租方时，采取竞价（多次报价）的方式确定承租方。竞价方以</w:t>
      </w:r>
      <w:r>
        <w:rPr>
          <w:rFonts w:hint="default" w:ascii="Times New Roman" w:hAnsi="Times New Roman" w:eastAsia="方正仿宋_GBK" w:cs="Times New Roman"/>
          <w:sz w:val="32"/>
          <w:szCs w:val="32"/>
          <w:highlight w:val="none"/>
          <w:lang w:val="en-US" w:eastAsia="zh-CN"/>
        </w:rPr>
        <w:t>书面竞租函方式</w:t>
      </w:r>
      <w:r>
        <w:rPr>
          <w:rFonts w:hint="default" w:ascii="Times New Roman" w:hAnsi="Times New Roman" w:eastAsia="方正仿宋_GBK" w:cs="Times New Roman"/>
          <w:sz w:val="32"/>
          <w:szCs w:val="32"/>
          <w:highlight w:val="none"/>
        </w:rPr>
        <w:t>进行竞价，以最高报价的意向承租方为竞得人。若经公开征集只产生一家意向承租方时，在合同价不低于底价的前提下，</w:t>
      </w:r>
      <w:r>
        <w:rPr>
          <w:rFonts w:hint="default" w:ascii="Times New Roman" w:hAnsi="Times New Roman" w:eastAsia="方正仿宋_GBK" w:cs="Times New Roman"/>
          <w:sz w:val="32"/>
          <w:szCs w:val="32"/>
          <w:highlight w:val="none"/>
          <w:lang w:val="en-US" w:eastAsia="zh-CN"/>
        </w:rPr>
        <w:t>以提交竞租函的意向承租人</w:t>
      </w:r>
      <w:r>
        <w:rPr>
          <w:rFonts w:hint="default" w:ascii="Times New Roman" w:hAnsi="Times New Roman" w:eastAsia="方正仿宋_GBK" w:cs="Times New Roman"/>
          <w:sz w:val="32"/>
          <w:szCs w:val="32"/>
          <w:highlight w:val="none"/>
        </w:rPr>
        <w:t>为竞得人。</w:t>
      </w:r>
    </w:p>
    <w:p w14:paraId="7A1C9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六、竞租保证金的退转</w:t>
      </w:r>
    </w:p>
    <w:p w14:paraId="4C230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标的物招租完成后，成功竞得标的物的企业，其竞租保证金自动转为租赁保证金；未竞得标的物的企业，其竞租保证金由出租方在竞租结束后全额无息按原路径退还。</w:t>
      </w:r>
    </w:p>
    <w:p w14:paraId="446353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七、注意事项</w:t>
      </w:r>
    </w:p>
    <w:p w14:paraId="4DD6E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以下情况竞租申请人应自行承担参与竞价交易所产生的全部法律后果及法律责任，</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均不承担任何经济和法律责任</w:t>
      </w:r>
      <w:r>
        <w:rPr>
          <w:rFonts w:hint="eastAsia" w:ascii="Times New Roman" w:hAnsi="Times New Roman" w:eastAsia="方正仿宋_GBK" w:cs="Times New Roman"/>
          <w:sz w:val="32"/>
          <w:szCs w:val="32"/>
          <w:highlight w:val="none"/>
          <w:lang w:eastAsia="zh-CN"/>
        </w:rPr>
        <w:t>：</w:t>
      </w:r>
    </w:p>
    <w:p w14:paraId="5CD08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一）</w:t>
      </w:r>
      <w:r>
        <w:rPr>
          <w:rFonts w:hint="default" w:ascii="Times New Roman" w:hAnsi="Times New Roman" w:eastAsia="方正仿宋_GBK" w:cs="Times New Roman"/>
          <w:sz w:val="32"/>
          <w:szCs w:val="32"/>
          <w:highlight w:val="none"/>
        </w:rPr>
        <w:t>竞租申请人未按公告及交易文件的有关规定提交相关资料而造成资料审核未通过的</w:t>
      </w:r>
      <w:r>
        <w:rPr>
          <w:rFonts w:hint="default" w:ascii="Times New Roman" w:hAnsi="Times New Roman" w:eastAsia="方正仿宋_GBK" w:cs="Times New Roman"/>
          <w:sz w:val="32"/>
          <w:szCs w:val="32"/>
          <w:highlight w:val="none"/>
          <w:lang w:eastAsia="zh-CN"/>
        </w:rPr>
        <w:t>。</w:t>
      </w:r>
    </w:p>
    <w:p w14:paraId="049C85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（二）竞租人因自身原因无法正常竞价的。</w:t>
      </w:r>
    </w:p>
    <w:p w14:paraId="37273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（三）其他根据法律法规竞租申请人应自行承担因此产生的法律后果及法律责任的</w:t>
      </w:r>
      <w:r>
        <w:rPr>
          <w:rFonts w:hint="default" w:ascii="Times New Roman" w:hAnsi="Times New Roman" w:eastAsia="方正仿宋_GBK" w:cs="Times New Roman"/>
          <w:sz w:val="32"/>
          <w:szCs w:val="32"/>
          <w:highlight w:val="none"/>
          <w:lang w:eastAsia="zh-CN"/>
        </w:rPr>
        <w:t>。</w:t>
      </w:r>
    </w:p>
    <w:p w14:paraId="7E416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lang w:eastAsia="zh-CN"/>
        </w:rPr>
      </w:pPr>
      <w:r>
        <w:rPr>
          <w:rFonts w:hint="default" w:ascii="方正黑体_GBK" w:hAnsi="方正黑体_GBK" w:eastAsia="方正黑体_GBK" w:cs="方正黑体_GBK"/>
          <w:sz w:val="32"/>
          <w:szCs w:val="32"/>
          <w:highlight w:val="none"/>
          <w:lang w:val="en-US" w:eastAsia="zh-CN"/>
        </w:rPr>
        <w:t>八、竞租方承诺的事项</w:t>
      </w:r>
    </w:p>
    <w:p w14:paraId="73818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在报名前或竞价前，务必组织专业人员对房屋进行实地踏勘，竞租方参与竞价视为已完成对竞价标的物的全面调查了解（包括但不限于查阅由出租方提供的标的物档案文件及实物），已对标的物权利及物理现状等相关情况及瑕疵进行充分了解并认可，并对竞租行为负责，自行承担包括但不限于因所获取的标的物信息不全面、误解等产生的相应后果。同意标的物严格以现状交付。该项目成交后，不得再以对现状有异议为由拒绝或延期签订《租赁合同》及支付第一期租金。</w:t>
      </w:r>
    </w:p>
    <w:p w14:paraId="53E202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竞争方在报名前，应当自行核实承租房屋前后的使用用途是否符合国家规定及能否通过政府部门审查；报名后，视为其已对房屋用途充分了解，对承租房屋后具体使用用途能否通过政府相关部门审查进行了具体核实，并将按照政府部门要求执行，已充分了解出租方对此不承担担保责任，不会因此影响合同的履行。</w:t>
      </w:r>
    </w:p>
    <w:p w14:paraId="5C435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九</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对本须知、出租标的物的权属、现状、出租方案、租赁合同、交付条件等情况</w:t>
      </w:r>
      <w:r>
        <w:rPr>
          <w:rFonts w:hint="default" w:ascii="Times New Roman" w:hAnsi="Times New Roman" w:eastAsia="方正仿宋_GBK" w:cs="Times New Roman"/>
          <w:sz w:val="32"/>
          <w:szCs w:val="32"/>
          <w:highlight w:val="none"/>
          <w:lang w:val="en-US" w:eastAsia="zh-CN"/>
        </w:rPr>
        <w:t>负有最终解释权</w:t>
      </w:r>
      <w:r>
        <w:rPr>
          <w:rFonts w:hint="default" w:ascii="Times New Roman" w:hAnsi="Times New Roman" w:eastAsia="方正仿宋_GBK" w:cs="Times New Roman"/>
          <w:sz w:val="32"/>
          <w:szCs w:val="32"/>
          <w:highlight w:val="none"/>
        </w:rPr>
        <w:t>。</w:t>
      </w:r>
    </w:p>
    <w:p w14:paraId="1B934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p>
    <w:p w14:paraId="02D3E624">
      <w:pPr>
        <w:pStyle w:val="4"/>
        <w:keepNext w:val="0"/>
        <w:keepLines w:val="0"/>
        <w:pageBreakBefore w:val="0"/>
        <w:widowControl w:val="0"/>
        <w:shd w:val="clear" w:color="auto" w:fill="auto"/>
        <w:kinsoku/>
        <w:overflowPunct/>
        <w:topLinePunct w:val="0"/>
        <w:autoSpaceDE/>
        <w:autoSpaceDN/>
        <w:bidi w:val="0"/>
        <w:adjustRightInd/>
        <w:snapToGrid/>
        <w:spacing w:line="560" w:lineRule="exact"/>
        <w:ind w:firstLine="2240" w:firstLineChars="700"/>
        <w:jc w:val="right"/>
        <w:textAlignment w:val="auto"/>
        <w:rPr>
          <w:rFonts w:hint="default" w:ascii="Times New Roman" w:hAnsi="Times New Roman" w:eastAsia="方正仿宋_GBK" w:cs="Times New Roman"/>
          <w:spacing w:val="0"/>
          <w:kern w:val="2"/>
          <w:sz w:val="32"/>
          <w:szCs w:val="32"/>
          <w:highlight w:val="none"/>
          <w:lang w:val="en-US" w:eastAsia="zh-CN" w:bidi="ar-SA"/>
        </w:rPr>
      </w:pPr>
      <w:r>
        <w:rPr>
          <w:rFonts w:hint="default" w:ascii="Times New Roman" w:hAnsi="Times New Roman" w:eastAsia="方正仿宋_GBK" w:cs="Times New Roman"/>
          <w:spacing w:val="0"/>
          <w:kern w:val="2"/>
          <w:sz w:val="32"/>
          <w:szCs w:val="32"/>
          <w:highlight w:val="none"/>
          <w:lang w:val="en-US" w:eastAsia="zh-CN" w:bidi="ar-SA"/>
        </w:rPr>
        <w:t>成都天府国际空港产城投资运营有限公司</w:t>
      </w:r>
    </w:p>
    <w:p w14:paraId="0B6A9DF5">
      <w:pPr>
        <w:pStyle w:val="4"/>
        <w:keepNext w:val="0"/>
        <w:keepLines w:val="0"/>
        <w:pageBreakBefore w:val="0"/>
        <w:widowControl w:val="0"/>
        <w:shd w:val="clear" w:color="auto" w:fill="auto"/>
        <w:kinsoku/>
        <w:wordWrap w:val="0"/>
        <w:overflowPunct/>
        <w:topLinePunct w:val="0"/>
        <w:autoSpaceDE/>
        <w:autoSpaceDN/>
        <w:bidi w:val="0"/>
        <w:adjustRightInd/>
        <w:snapToGrid/>
        <w:spacing w:line="560" w:lineRule="exact"/>
        <w:ind w:firstLine="4160" w:firstLineChars="1300"/>
        <w:jc w:val="right"/>
        <w:textAlignment w:val="auto"/>
        <w:rPr>
          <w:rFonts w:hint="eastAsia" w:ascii="Times New Roman" w:hAnsi="Times New Roman" w:eastAsia="方正仿宋_GBK" w:cs="Times New Roman"/>
          <w:spacing w:val="0"/>
          <w:kern w:val="2"/>
          <w:sz w:val="32"/>
          <w:szCs w:val="32"/>
          <w:highlight w:val="none"/>
          <w:lang w:val="en-US" w:eastAsia="zh-CN" w:bidi="ar-SA"/>
        </w:rPr>
      </w:pPr>
      <w:r>
        <w:rPr>
          <w:rFonts w:hint="default" w:ascii="Times New Roman" w:hAnsi="Times New Roman" w:eastAsia="方正仿宋_GBK" w:cs="Times New Roman"/>
          <w:spacing w:val="0"/>
          <w:kern w:val="2"/>
          <w:sz w:val="32"/>
          <w:szCs w:val="32"/>
          <w:highlight w:val="none"/>
          <w:lang w:val="en-US" w:eastAsia="zh-CN" w:bidi="ar-SA"/>
        </w:rPr>
        <w:t>202</w:t>
      </w:r>
      <w:r>
        <w:rPr>
          <w:rFonts w:hint="eastAsia" w:ascii="Times New Roman" w:hAnsi="Times New Roman" w:eastAsia="方正仿宋_GBK" w:cs="Times New Roman"/>
          <w:spacing w:val="0"/>
          <w:kern w:val="2"/>
          <w:sz w:val="32"/>
          <w:szCs w:val="32"/>
          <w:highlight w:val="none"/>
          <w:lang w:val="en-US" w:eastAsia="zh-CN" w:bidi="ar-SA"/>
        </w:rPr>
        <w:t>6</w:t>
      </w:r>
      <w:r>
        <w:rPr>
          <w:rFonts w:hint="default" w:ascii="Times New Roman" w:hAnsi="Times New Roman" w:eastAsia="方正仿宋_GBK" w:cs="Times New Roman"/>
          <w:spacing w:val="0"/>
          <w:kern w:val="2"/>
          <w:sz w:val="32"/>
          <w:szCs w:val="32"/>
          <w:highlight w:val="none"/>
          <w:lang w:val="en-US" w:eastAsia="zh-CN" w:bidi="ar-SA"/>
        </w:rPr>
        <w:t>年</w:t>
      </w:r>
      <w:r>
        <w:rPr>
          <w:rFonts w:hint="eastAsia" w:ascii="Times New Roman" w:hAnsi="Times New Roman" w:eastAsia="方正仿宋_GBK" w:cs="Times New Roman"/>
          <w:spacing w:val="0"/>
          <w:kern w:val="2"/>
          <w:sz w:val="32"/>
          <w:szCs w:val="32"/>
          <w:highlight w:val="none"/>
          <w:lang w:val="en-US" w:eastAsia="zh-CN" w:bidi="ar-SA"/>
        </w:rPr>
        <w:t>6</w:t>
      </w:r>
      <w:r>
        <w:rPr>
          <w:rFonts w:hint="default" w:ascii="Times New Roman" w:hAnsi="Times New Roman" w:eastAsia="方正仿宋_GBK" w:cs="Times New Roman"/>
          <w:spacing w:val="0"/>
          <w:kern w:val="2"/>
          <w:sz w:val="32"/>
          <w:szCs w:val="32"/>
          <w:highlight w:val="none"/>
          <w:lang w:val="en-US" w:eastAsia="zh-CN" w:bidi="ar-SA"/>
        </w:rPr>
        <w:t>月</w:t>
      </w:r>
      <w:r>
        <w:rPr>
          <w:rFonts w:hint="eastAsia" w:ascii="Times New Roman" w:hAnsi="Times New Roman" w:eastAsia="方正仿宋_GBK" w:cs="Times New Roman"/>
          <w:spacing w:val="0"/>
          <w:kern w:val="2"/>
          <w:sz w:val="32"/>
          <w:szCs w:val="32"/>
          <w:highlight w:val="none"/>
          <w:lang w:val="en-US" w:eastAsia="zh-CN" w:bidi="ar-SA"/>
        </w:rPr>
        <w:t>11</w:t>
      </w:r>
      <w:r>
        <w:rPr>
          <w:rFonts w:hint="default" w:ascii="Times New Roman" w:hAnsi="Times New Roman" w:eastAsia="方正仿宋_GBK" w:cs="Times New Roman"/>
          <w:spacing w:val="0"/>
          <w:kern w:val="2"/>
          <w:sz w:val="32"/>
          <w:szCs w:val="32"/>
          <w:highlight w:val="none"/>
          <w:lang w:val="en-US" w:eastAsia="zh-CN" w:bidi="ar-SA"/>
        </w:rPr>
        <w:t>日</w:t>
      </w:r>
      <w:r>
        <w:rPr>
          <w:rFonts w:hint="eastAsia" w:ascii="Times New Roman" w:hAnsi="Times New Roman" w:eastAsia="方正仿宋_GBK" w:cs="Times New Roman"/>
          <w:spacing w:val="0"/>
          <w:kern w:val="2"/>
          <w:sz w:val="32"/>
          <w:szCs w:val="32"/>
          <w:highlight w:val="none"/>
          <w:lang w:val="en-US" w:eastAsia="zh-CN" w:bidi="ar-SA"/>
        </w:rPr>
        <w:t xml:space="preserve">          </w:t>
      </w:r>
    </w:p>
    <w:p w14:paraId="43A286F4">
      <w:bookmarkStart w:id="0" w:name="_GoBack"/>
      <w:bookmarkEnd w:id="0"/>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方正黑体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方正仿宋">
    <w:altName w:val="仿宋"/>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58C2"/>
    <w:rsid w:val="07082EAA"/>
    <w:rsid w:val="1B47424D"/>
    <w:rsid w:val="430E697C"/>
    <w:rsid w:val="5A9F5BEE"/>
    <w:rsid w:val="60FE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23"/>
    <w:basedOn w:val="1"/>
    <w:qFormat/>
    <w:uiPriority w:val="0"/>
    <w:pPr>
      <w:shd w:val="clear" w:color="auto" w:fill="FFFFFF"/>
      <w:spacing w:line="554" w:lineRule="exact"/>
      <w:jc w:val="distribute"/>
    </w:pPr>
    <w:rPr>
      <w:rFonts w:ascii="PMingLiU" w:hAnsi="宋体" w:eastAsia="PMingLiU" w:cs="宋体"/>
      <w:spacing w:val="4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2024-10-31T07:14:00Z</dcterms:created>
  <dc:creator>Lenovo</dc:creator>
  <cp:lastModifiedBy>苏丹迪</cp:lastModifiedBy>
  <dcterms:modified xsi:type="dcterms:W3CDTF">2026-06-11T03:27:12Z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0462D7A678C140BFBF89997F4DD1C02C_12</vt:lpwstr>
  </property>
  <property fmtid="{D5CDD505-2E9C-101B-9397-08002B2CF9AE}" pid="4" name="KSOTemplateDocerSaveRecord">
    <vt:lpwstr>eyJoZGlkIjoiMWUzYWY4YmVlMTAyODIxMmYwM2RhYThkNjUwODI4ZDAiLCJ1c2VySWQiOiIxNjQ5OTIyNTg3In0=</vt:lpwstr>
  </property>
</Properties>
</file>